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aps/>
          <w:color w:val="0D9488"/>
          <w:sz w:val="18"/>
          <w:szCs w:val="18"/>
        </w:rPr>
        <w:t xml:space="preserve">Change Management · Business Analysis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B1F33"/>
          <w:sz w:val="44"/>
          <w:szCs w:val="44"/>
        </w:rPr>
        <w:t xml:space="preserve">Change Request Document (CRD)</w:t>
      </w:r>
    </w:p>
    <w:p>
      <w:pPr>
        <w:pBdr>
          <w:bottom w:val="single" w:color="0D9488" w:sz="10" w:space="8"/>
        </w:pBdr>
        <w:spacing w:after="260"/>
      </w:pPr>
      <w:r>
        <w:rPr>
          <w:rFonts w:ascii="Calibri" w:cs="Calibri" w:eastAsia="Calibri" w:hAnsi="Calibri"/>
          <w:color w:val="5A7089"/>
          <w:sz w:val="20"/>
          <w:szCs w:val="20"/>
        </w:rPr>
        <w:t xml:space="preserve">Template for scoping, justifying, and getting sign-off on a system or process change — payment / fintech context.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8"/>
        <w:gridCol w:w="6138"/>
      </w:tblGrid>
      <w:tr>
        <w:trPr>
          <w:tblHeader/>
        </w:trP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Document Control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CRD Number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[CRD-YYYY-###]</w:t>
            </w:r>
          </w:p>
        </w:tc>
      </w:tr>
      <w:t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Title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[Short, descriptive title of the change]</w:t>
            </w:r>
          </w:p>
        </w:tc>
      </w:tr>
      <w:t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Version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[v1.0]</w:t>
            </w:r>
          </w:p>
        </w:tc>
      </w:tr>
      <w:t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Date Submitted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Author (BA)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Requested By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[Business owner / stakeholder]</w:t>
            </w:r>
          </w:p>
        </w:tc>
      </w:tr>
      <w:tr>
        <w:tc>
          <w:tcPr>
            <w:tcW w:type="dxa" w:w="288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Status</w:t>
            </w:r>
          </w:p>
        </w:tc>
        <w:tc>
          <w:tcPr>
            <w:tcW w:type="dxa" w:w="613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Draft   ☐ In Review   ☐ Approved   ☐ Rejected   ☐ Implemented</w:t>
            </w:r>
          </w:p>
        </w:tc>
      </w:tr>
    </w:tbl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1. Change Summary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Business Context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Why is this change needed — merchant request, regulatory requirement, incident-driven fix, or internal initiative?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Change Description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What exactly will change: feature, system, process, or configuration?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Expected Business Outcome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What measurable business result does this change deliver?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2. Change Classification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Change Type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Feature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Enhancement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Bugfix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Hotfix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Config Change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Refactor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Security Patch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Change Category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Standard — routine, pre-approved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Normal — requires full approval chain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Emergency — incident-driven, expedited approval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Settlement / End-of-Day (EOD) Impact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Affects EOD processing (settlement, reconciliation, batch, cutoff)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No EOD impact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Risk Level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Low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Medium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High</w:t>
      </w:r>
      <w:r>
        <w:rPr>
          <w:rFonts w:ascii="Calibri" w:cs="Calibri" w:eastAsia="Calibri" w:hAnsi="Calibri"/>
          <w:sz w:val="20"/>
          <w:szCs w:val="20"/>
        </w:rPr>
        <w:t xml:space="preserve">    ☐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Critical</w:t>
      </w:r>
    </w:p>
    <w:p>
      <w:r>
        <w:br w:type="page"/>
      </w:r>
    </w:p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3. Scope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In Scope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Out of Scope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Critical for payment systems — state explicitly what is NOT covered, to avoid hidden assumptions downstream.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4. Impact Analysis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3610"/>
        <w:gridCol w:w="2708"/>
      </w:tblGrid>
      <w:tr>
        <w:trPr>
          <w:tblHeader/>
        </w:trP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Area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Impact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Systems / modules affected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API / interface contracts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Breaking  ☐ Non-breaking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Downstream partners (bank, switch, aggregator)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Data / PCI-DSS scope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Regulatory (BI / OJK) considerations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Stakeholders to Notify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3610"/>
        <w:gridCol w:w="2708"/>
      </w:tblGrid>
      <w:tr>
        <w:trPr>
          <w:tblHeader/>
        </w:trP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Stakeholder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Notification Required?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Channel</w:t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Yes  ☐ No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Yes  ☐ No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5. Implementation Plan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2708"/>
        <w:gridCol w:w="1805"/>
        <w:gridCol w:w="1986"/>
      </w:tblGrid>
      <w:tr>
        <w:trPr>
          <w:tblHeader/>
        </w:trP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Step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PIC</w:t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Target Date</w:t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1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2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3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6. Testing &amp; UAT Plan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Include edge cases relevant to payments: timeout handling, duplicate submission / idempotency, and partial failure — not just the happy path.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3610"/>
        <w:gridCol w:w="2708"/>
      </w:tblGrid>
      <w:tr>
        <w:trPr>
          <w:tblHeader/>
        </w:trP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Test Scenario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Expected Result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Sign-off By</w:t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Happy path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Timeout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Duplicate / idempotency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Partial failure</w:t>
            </w:r>
          </w:p>
        </w:tc>
        <w:tc>
          <w:tcPr>
            <w:tcW w:type="dxa" w:w="3610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7. Rollback / Backout Plan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Rollback Trigger Criteria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Under what condition is rollback initiated?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2708"/>
        <w:gridCol w:w="1805"/>
        <w:gridCol w:w="1986"/>
      </w:tblGrid>
      <w:tr>
        <w:trPr>
          <w:tblHeader/>
        </w:trP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Step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Action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PIC</w:t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Est. Time</w:t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1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2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8. Communication Plan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Any change affecting EOD processing must notify Settlement / Finance regardless of downtime impact.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2708"/>
        <w:gridCol w:w="1805"/>
        <w:gridCol w:w="1986"/>
      </w:tblGrid>
      <w:tr>
        <w:trPr>
          <w:tblHeader/>
        </w:trP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Audience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Notify?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Channel</w:t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Timing</w:t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Merchants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Yes ☐ No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e.g. H-3</w:t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Internal Ops / CS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Yes ☐ No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Settlement / Finance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Yes ☐ No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Bank / channel partner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☐ Yes ☐ No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9. Approval Matrix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2708"/>
        <w:gridCol w:w="1805"/>
        <w:gridCol w:w="1986"/>
      </w:tblGrid>
      <w:tr>
        <w:trPr>
          <w:tblHeader/>
        </w:trP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Role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Name (PIC)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Date</w:t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Business Owner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Technical Lead / Architect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Compliance / Risk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QA Lead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Product Manager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pStyle w:val="Heading1"/>
        <w:pBdr>
          <w:bottom w:val="single" w:color="0D9488" w:sz="6" w:space="4"/>
        </w:pBdr>
        <w:spacing w:after="140" w:before="340"/>
      </w:pPr>
      <w:r>
        <w:rPr>
          <w:rFonts w:ascii="Calibri" w:cs="Calibri" w:eastAsia="Calibri" w:hAnsi="Calibri"/>
          <w:b/>
          <w:bCs/>
          <w:color w:val="0B1F33"/>
          <w:sz w:val="26"/>
          <w:szCs w:val="26"/>
        </w:rPr>
        <w:t xml:space="preserve">10. Post-Implementation Review (PIR)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A7089"/>
          <w:sz w:val="18"/>
          <w:szCs w:val="18"/>
        </w:rPr>
        <w:t xml:space="preserve">Complete after go-live.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2708"/>
        <w:gridCol w:w="1805"/>
        <w:gridCol w:w="1986"/>
      </w:tblGrid>
      <w:tr>
        <w:trPr>
          <w:tblHeader/>
        </w:trP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Metric</w:t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Planned</w:t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Actual</w:t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shd w:fill="F2F5F8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1F33"/>
                <w:sz w:val="18"/>
                <w:szCs w:val="18"/>
              </w:rPr>
              <w:t xml:space="preserve">Variance</w:t>
            </w:r>
          </w:p>
        </w:tc>
      </w:tr>
      <w:tr>
        <w:tc>
          <w:tcPr>
            <w:tcW w:type="dxa" w:w="2527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2708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805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  <w:tc>
          <w:tcPr>
            <w:tcW w:type="dxa" w:w="1986"/>
            <w:tcBorders>
              <w:top w:val="single" w:color="C2CFDB" w:sz="4"/>
              <w:left w:val="single" w:color="C2CFDB" w:sz="4"/>
              <w:bottom w:val="single" w:color="C2CFDB" w:sz="4"/>
              <w:right w:val="single" w:color="C2CFDB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Incidents During Rollout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0B1F33"/>
          <w:sz w:val="20"/>
          <w:szCs w:val="20"/>
        </w:rPr>
        <w:t xml:space="preserve">Lessons Learned</w:t>
      </w:r>
    </w:p>
    <w:p>
      <w:pPr>
        <w:pBdr>
          <w:bottom w:val="single" w:color="C2CFDB" w:sz="4" w:space="2"/>
        </w:pBdr>
        <w:spacing w:after="16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/>
      </w:r>
    </w:p>
    <w:p>
      <w:pPr>
        <w:pBdr>
          <w:top w:val="single" w:color="C2CFDB" w:sz="4" w:space="8"/>
        </w:pBdr>
        <w:spacing w:before="400"/>
      </w:pPr>
      <w:r>
        <w:rPr>
          <w:rFonts w:ascii="Calibri" w:cs="Calibri" w:eastAsia="Calibri" w:hAnsi="Calibri"/>
          <w:i/>
          <w:iCs/>
          <w:color w:val="5A7089"/>
          <w:sz w:val="16"/>
          <w:szCs w:val="16"/>
        </w:rPr>
        <w:t xml:space="preserve">Template by Bryan Ananda — Senior Business Analyst, Payments &amp; Fintech. Free to adapt for your team's change management or QA process.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2026-07-08T12:05:32.876Z</dcterms:created>
  <dcterms:modified xsi:type="dcterms:W3CDTF">2026-07-08T12:05:32.876Z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